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D33094" w14:textId="77777777" w:rsidR="00F403F8" w:rsidRDefault="00D33C50">
      <w:pPr>
        <w:pStyle w:val="Title"/>
        <w:rPr>
          <w:rFonts w:cs="Times New Roman"/>
        </w:rPr>
      </w:pPr>
      <w:r>
        <w:rPr>
          <w:rFonts w:cs="Times New Roman"/>
          <w:rtl/>
        </w:rPr>
        <w:t>تحلیل تعارض‌های بین‌نهادی در مدیریت منابع آب و تدوین راهکارهای حل تعارض</w:t>
      </w:r>
    </w:p>
    <w:p w14:paraId="42D38F58" w14:textId="5FD6F080" w:rsidR="00BA6E0F" w:rsidRPr="00BA6E0F" w:rsidRDefault="00BA6E0F" w:rsidP="00BA6E0F">
      <w:pPr>
        <w:pStyle w:val="FirstParagraph"/>
        <w:jc w:val="center"/>
        <w:rPr>
          <w:rFonts w:cs="Times New Roman"/>
          <w:b/>
          <w:bCs/>
          <w:rtl/>
        </w:rPr>
      </w:pPr>
      <w:r w:rsidRPr="00BA6E0F">
        <w:rPr>
          <w:rFonts w:cs="Times New Roman" w:hint="cs"/>
          <w:b/>
          <w:bCs/>
          <w:rtl/>
        </w:rPr>
        <w:t>*جهت ثبت پیشن</w:t>
      </w:r>
      <w:r w:rsidR="00FE11F6">
        <w:rPr>
          <w:rFonts w:cs="Times New Roman" w:hint="cs"/>
          <w:b/>
          <w:bCs/>
          <w:rtl/>
        </w:rPr>
        <w:t>هاده به سامانه ساتع مراجعه نمایی</w:t>
      </w:r>
      <w:bookmarkStart w:id="0" w:name="_GoBack"/>
      <w:bookmarkEnd w:id="0"/>
      <w:r w:rsidRPr="00BA6E0F">
        <w:rPr>
          <w:rFonts w:cs="Times New Roman" w:hint="cs"/>
          <w:b/>
          <w:bCs/>
          <w:rtl/>
        </w:rPr>
        <w:t>د</w:t>
      </w:r>
    </w:p>
    <w:sdt>
      <w:sdtPr>
        <w:rPr>
          <w:rFonts w:ascii="Vazirmatn" w:eastAsia="Vazirmatn" w:hAnsi="Vazirmatn" w:cs="Vazirmatn"/>
          <w:b w:val="0"/>
          <w:bCs w:val="0"/>
          <w:color w:val="auto"/>
          <w:sz w:val="22"/>
          <w:szCs w:val="22"/>
          <w:rtl/>
        </w:rPr>
        <w:id w:val="1527291676"/>
        <w:docPartObj>
          <w:docPartGallery w:val="Table of Contents"/>
          <w:docPartUnique/>
        </w:docPartObj>
      </w:sdtPr>
      <w:sdtEndPr/>
      <w:sdtContent>
        <w:p w14:paraId="036AE68A" w14:textId="77777777" w:rsidR="00F403F8" w:rsidRDefault="00D33C50">
          <w:pPr>
            <w:pStyle w:val="TOCHeading"/>
          </w:pPr>
          <w:r>
            <w:rPr>
              <w:rFonts w:ascii="Vazirmatn" w:eastAsia="Vazirmatn" w:hAnsi="Vazirmatn" w:cs="Times New Roman"/>
              <w:rtl/>
            </w:rPr>
            <w:t>فهرست مطالب</w:t>
          </w:r>
        </w:p>
        <w:p w14:paraId="371AF767" w14:textId="77777777" w:rsidR="00F403F8" w:rsidRDefault="00D33C50">
          <w:pPr>
            <w:tabs>
              <w:tab w:val="right" w:leader="dot" w:pos="9000"/>
            </w:tabs>
            <w:spacing w:after="60"/>
            <w:jc w:val="left"/>
          </w:pPr>
          <w:hyperlink w:anchor="عنوان-طرح" w:history="1">
            <w:r w:rsidR="00F403F8">
              <w:rPr>
                <w:rFonts w:cs="Times New Roman"/>
                <w:sz w:val="21"/>
                <w:szCs w:val="21"/>
                <w:rtl/>
              </w:rPr>
              <w:t>۱</w:t>
            </w:r>
            <w:r w:rsidR="00F403F8">
              <w:rPr>
                <w:sz w:val="21"/>
                <w:szCs w:val="21"/>
              </w:rPr>
              <w:t> </w:t>
            </w:r>
            <w:r w:rsidR="00F403F8">
              <w:rPr>
                <w:rFonts w:cs="Times New Roman"/>
                <w:sz w:val="21"/>
                <w:szCs w:val="21"/>
                <w:rtl/>
              </w:rPr>
              <w:t>عنوان طرح</w:t>
            </w:r>
          </w:hyperlink>
          <w:r w:rsidR="00F403F8">
            <w:tab/>
          </w:r>
          <w:r w:rsidR="00F403F8">
            <w:fldChar w:fldCharType="begin"/>
          </w:r>
          <w:r w:rsidR="00F403F8">
            <w:instrText xml:space="preserve"> PAGEREF </w:instrText>
          </w:r>
          <w:r w:rsidR="00F403F8">
            <w:rPr>
              <w:rFonts w:cs="Times New Roman"/>
              <w:rtl/>
            </w:rPr>
            <w:instrText>عنوان-طرح</w:instrText>
          </w:r>
          <w:r w:rsidR="00F403F8">
            <w:instrText xml:space="preserve"> \h </w:instrText>
          </w:r>
          <w:r w:rsidR="00F403F8">
            <w:fldChar w:fldCharType="separate"/>
          </w:r>
          <w:r w:rsidR="00CD0066">
            <w:rPr>
              <w:rFonts w:cs="Times New Roman"/>
              <w:noProof/>
              <w:rtl/>
            </w:rPr>
            <w:t>1</w:t>
          </w:r>
          <w:r w:rsidR="00F403F8">
            <w:fldChar w:fldCharType="end"/>
          </w:r>
        </w:p>
        <w:p w14:paraId="2091F7E5" w14:textId="77777777" w:rsidR="00F403F8" w:rsidRDefault="00D33C50">
          <w:pPr>
            <w:tabs>
              <w:tab w:val="right" w:leader="dot" w:pos="9000"/>
            </w:tabs>
            <w:spacing w:after="60"/>
            <w:jc w:val="left"/>
          </w:pPr>
          <w:hyperlink w:anchor="تعریف-مسئله" w:history="1">
            <w:r w:rsidR="00F403F8">
              <w:rPr>
                <w:rFonts w:cs="Times New Roman"/>
                <w:sz w:val="21"/>
                <w:szCs w:val="21"/>
                <w:rtl/>
              </w:rPr>
              <w:t>۲</w:t>
            </w:r>
            <w:r w:rsidR="00F403F8">
              <w:rPr>
                <w:sz w:val="21"/>
                <w:szCs w:val="21"/>
              </w:rPr>
              <w:t> </w:t>
            </w:r>
            <w:r w:rsidR="00F403F8">
              <w:rPr>
                <w:rFonts w:cs="Times New Roman"/>
                <w:sz w:val="21"/>
                <w:szCs w:val="21"/>
                <w:rtl/>
              </w:rPr>
              <w:t>تعریف مسئله</w:t>
            </w:r>
          </w:hyperlink>
          <w:r w:rsidR="00F403F8">
            <w:tab/>
          </w:r>
          <w:r w:rsidR="00F403F8">
            <w:fldChar w:fldCharType="begin"/>
          </w:r>
          <w:r w:rsidR="00F403F8">
            <w:instrText xml:space="preserve"> PAGEREF </w:instrText>
          </w:r>
          <w:r w:rsidR="00F403F8">
            <w:rPr>
              <w:rFonts w:cs="Times New Roman"/>
              <w:rtl/>
            </w:rPr>
            <w:instrText>تعریف-مسئله</w:instrText>
          </w:r>
          <w:r w:rsidR="00F403F8">
            <w:instrText xml:space="preserve"> \h </w:instrText>
          </w:r>
          <w:r w:rsidR="00F403F8">
            <w:fldChar w:fldCharType="separate"/>
          </w:r>
          <w:r w:rsidR="00CD0066">
            <w:rPr>
              <w:rFonts w:cs="Times New Roman"/>
              <w:noProof/>
              <w:rtl/>
            </w:rPr>
            <w:t>1</w:t>
          </w:r>
          <w:r w:rsidR="00F403F8">
            <w:fldChar w:fldCharType="end"/>
          </w:r>
        </w:p>
        <w:p w14:paraId="1ADFDEFD" w14:textId="77777777" w:rsidR="00F403F8" w:rsidRDefault="00D33C50">
          <w:pPr>
            <w:tabs>
              <w:tab w:val="right" w:leader="dot" w:pos="9000"/>
            </w:tabs>
            <w:spacing w:after="60"/>
            <w:jc w:val="left"/>
          </w:pPr>
          <w:hyperlink w:anchor="ضرورت-اجرای-طرح" w:history="1">
            <w:r w:rsidR="00F403F8">
              <w:rPr>
                <w:rFonts w:cs="Times New Roman"/>
                <w:sz w:val="21"/>
                <w:szCs w:val="21"/>
                <w:rtl/>
              </w:rPr>
              <w:t>۳</w:t>
            </w:r>
            <w:r w:rsidR="00F403F8">
              <w:rPr>
                <w:sz w:val="21"/>
                <w:szCs w:val="21"/>
              </w:rPr>
              <w:t> </w:t>
            </w:r>
            <w:r w:rsidR="00F403F8">
              <w:rPr>
                <w:rFonts w:cs="Times New Roman"/>
                <w:sz w:val="21"/>
                <w:szCs w:val="21"/>
                <w:rtl/>
              </w:rPr>
              <w:t>ضرورت اجرای طرح</w:t>
            </w:r>
          </w:hyperlink>
          <w:r w:rsidR="00F403F8">
            <w:tab/>
          </w:r>
          <w:r w:rsidR="00F403F8">
            <w:fldChar w:fldCharType="begin"/>
          </w:r>
          <w:r w:rsidR="00F403F8">
            <w:instrText xml:space="preserve"> PAGEREF </w:instrText>
          </w:r>
          <w:r w:rsidR="00F403F8">
            <w:rPr>
              <w:rFonts w:cs="Times New Roman"/>
              <w:rtl/>
            </w:rPr>
            <w:instrText>ضرورت-اجرای-طرح</w:instrText>
          </w:r>
          <w:r w:rsidR="00F403F8">
            <w:instrText xml:space="preserve"> \h </w:instrText>
          </w:r>
          <w:r w:rsidR="00F403F8">
            <w:fldChar w:fldCharType="separate"/>
          </w:r>
          <w:r w:rsidR="00CD0066">
            <w:rPr>
              <w:rFonts w:cs="Times New Roman"/>
              <w:noProof/>
              <w:rtl/>
            </w:rPr>
            <w:t>1</w:t>
          </w:r>
          <w:r w:rsidR="00F403F8">
            <w:fldChar w:fldCharType="end"/>
          </w:r>
        </w:p>
        <w:p w14:paraId="197A5EBD" w14:textId="77777777" w:rsidR="00F403F8" w:rsidRDefault="00D33C50">
          <w:pPr>
            <w:tabs>
              <w:tab w:val="right" w:leader="dot" w:pos="9000"/>
            </w:tabs>
            <w:spacing w:after="60"/>
            <w:jc w:val="left"/>
          </w:pPr>
          <w:hyperlink w:anchor="مشخصات-فنی" w:history="1">
            <w:r w:rsidR="00F403F8">
              <w:rPr>
                <w:rFonts w:cs="Times New Roman"/>
                <w:sz w:val="21"/>
                <w:szCs w:val="21"/>
                <w:rtl/>
              </w:rPr>
              <w:t>۴</w:t>
            </w:r>
            <w:r w:rsidR="00F403F8">
              <w:rPr>
                <w:sz w:val="21"/>
                <w:szCs w:val="21"/>
              </w:rPr>
              <w:t> </w:t>
            </w:r>
            <w:r w:rsidR="00F403F8">
              <w:rPr>
                <w:rFonts w:cs="Times New Roman"/>
                <w:sz w:val="21"/>
                <w:szCs w:val="21"/>
                <w:rtl/>
              </w:rPr>
              <w:t>مشخصات فنی</w:t>
            </w:r>
          </w:hyperlink>
          <w:r w:rsidR="00F403F8">
            <w:tab/>
          </w:r>
          <w:r w:rsidR="00F403F8">
            <w:fldChar w:fldCharType="begin"/>
          </w:r>
          <w:r w:rsidR="00F403F8">
            <w:instrText xml:space="preserve"> PAGEREF </w:instrText>
          </w:r>
          <w:r w:rsidR="00F403F8">
            <w:rPr>
              <w:rFonts w:cs="Times New Roman"/>
              <w:rtl/>
            </w:rPr>
            <w:instrText>مشخصات-فنی</w:instrText>
          </w:r>
          <w:r w:rsidR="00F403F8">
            <w:instrText xml:space="preserve"> \h </w:instrText>
          </w:r>
          <w:r w:rsidR="00F403F8">
            <w:fldChar w:fldCharType="separate"/>
          </w:r>
          <w:r w:rsidR="00CD0066">
            <w:rPr>
              <w:rFonts w:cs="Times New Roman"/>
              <w:noProof/>
              <w:rtl/>
            </w:rPr>
            <w:t>1</w:t>
          </w:r>
          <w:r w:rsidR="00F403F8">
            <w:fldChar w:fldCharType="end"/>
          </w:r>
        </w:p>
        <w:p w14:paraId="06912F70" w14:textId="77777777" w:rsidR="00F403F8" w:rsidRDefault="00D33C50">
          <w:pPr>
            <w:tabs>
              <w:tab w:val="right" w:leader="dot" w:pos="9000"/>
            </w:tabs>
            <w:spacing w:after="60"/>
            <w:jc w:val="left"/>
          </w:pPr>
          <w:hyperlink w:anchor="نتایج-مورد-انتظار" w:history="1">
            <w:r w:rsidR="00F403F8">
              <w:rPr>
                <w:rFonts w:cs="Times New Roman"/>
                <w:sz w:val="21"/>
                <w:szCs w:val="21"/>
                <w:rtl/>
              </w:rPr>
              <w:t>۵</w:t>
            </w:r>
            <w:r w:rsidR="00F403F8">
              <w:rPr>
                <w:sz w:val="21"/>
                <w:szCs w:val="21"/>
              </w:rPr>
              <w:t> </w:t>
            </w:r>
            <w:r w:rsidR="00F403F8">
              <w:rPr>
                <w:rFonts w:cs="Times New Roman"/>
                <w:sz w:val="21"/>
                <w:szCs w:val="21"/>
                <w:rtl/>
              </w:rPr>
              <w:t>نتایج مورد انتظار</w:t>
            </w:r>
          </w:hyperlink>
          <w:r w:rsidR="00F403F8">
            <w:tab/>
          </w:r>
          <w:r w:rsidR="00F403F8">
            <w:fldChar w:fldCharType="begin"/>
          </w:r>
          <w:r w:rsidR="00F403F8">
            <w:instrText xml:space="preserve"> PAGEREF </w:instrText>
          </w:r>
          <w:r w:rsidR="00F403F8">
            <w:rPr>
              <w:rFonts w:cs="Times New Roman"/>
              <w:rtl/>
            </w:rPr>
            <w:instrText>نتایج-مورد-انتظار</w:instrText>
          </w:r>
          <w:r w:rsidR="00F403F8">
            <w:instrText xml:space="preserve"> \h </w:instrText>
          </w:r>
          <w:r w:rsidR="00F403F8">
            <w:fldChar w:fldCharType="separate"/>
          </w:r>
          <w:r w:rsidR="00CD0066">
            <w:rPr>
              <w:rFonts w:cs="Times New Roman"/>
              <w:noProof/>
              <w:rtl/>
            </w:rPr>
            <w:t>1</w:t>
          </w:r>
          <w:r w:rsidR="00F403F8">
            <w:fldChar w:fldCharType="end"/>
          </w:r>
        </w:p>
      </w:sdtContent>
    </w:sdt>
    <w:p w14:paraId="0AD586B3" w14:textId="77777777" w:rsidR="00F403F8" w:rsidRDefault="00D33C50">
      <w:pPr>
        <w:pStyle w:val="Heading1"/>
      </w:pPr>
      <w:bookmarkStart w:id="1" w:name="عنوان-طرح"/>
      <w:r>
        <w:rPr>
          <w:rFonts w:cs="Times New Roman"/>
          <w:rtl/>
        </w:rPr>
        <w:t>۱</w:t>
      </w:r>
      <w:r>
        <w:t> </w:t>
      </w:r>
      <w:r>
        <w:rPr>
          <w:rFonts w:cs="Times New Roman"/>
          <w:rtl/>
        </w:rPr>
        <w:t>عنوان طرح</w:t>
      </w:r>
    </w:p>
    <w:p w14:paraId="3C9D3E8B" w14:textId="77777777" w:rsidR="00F403F8" w:rsidRDefault="00D33C50">
      <w:pPr>
        <w:pStyle w:val="FirstParagraph"/>
      </w:pPr>
      <w:r>
        <w:rPr>
          <w:rFonts w:cs="Times New Roman"/>
          <w:b/>
          <w:bCs/>
          <w:rtl/>
        </w:rPr>
        <w:t>تحلیل تعارض‌های بین‌نهادی در مدیریت منابع آب و تدوین راهکارهای حل تعارض</w:t>
      </w:r>
    </w:p>
    <w:p w14:paraId="77753934" w14:textId="77777777" w:rsidR="00F403F8" w:rsidRDefault="00D33C50">
      <w:pPr>
        <w:pStyle w:val="Heading1"/>
      </w:pPr>
      <w:bookmarkStart w:id="2" w:name="تعریف-مسئله"/>
      <w:bookmarkEnd w:id="1"/>
      <w:r>
        <w:rPr>
          <w:rFonts w:cs="Times New Roman"/>
          <w:rtl/>
        </w:rPr>
        <w:t>۲</w:t>
      </w:r>
      <w:r>
        <w:t> </w:t>
      </w:r>
      <w:r>
        <w:rPr>
          <w:rFonts w:cs="Times New Roman"/>
          <w:rtl/>
        </w:rPr>
        <w:t>تعریف مسئله</w:t>
      </w:r>
    </w:p>
    <w:p w14:paraId="67207081" w14:textId="77777777" w:rsidR="00F403F8" w:rsidRDefault="00D33C50">
      <w:pPr>
        <w:pStyle w:val="FirstParagraph"/>
      </w:pPr>
      <w:r>
        <w:rPr>
          <w:rFonts w:cs="Times New Roman"/>
          <w:rtl/>
        </w:rPr>
        <w:t>مدیریت منابع آب درهم‌تنیدگی وظایف و تصمیم‌های نهادهای متعددی را در سطح ملی، حوضه‌ای، اس</w:t>
      </w:r>
      <w:r>
        <w:rPr>
          <w:rFonts w:cs="Times New Roman"/>
          <w:rtl/>
        </w:rPr>
        <w:t>تانی و محلی دربرمی‌گیرد</w:t>
      </w:r>
      <w:r>
        <w:rPr>
          <w:rtl/>
        </w:rPr>
        <w:t xml:space="preserve">. </w:t>
      </w:r>
      <w:r>
        <w:rPr>
          <w:rFonts w:cs="Times New Roman"/>
          <w:rtl/>
        </w:rPr>
        <w:t>وزارت نیرو و شرکت‌های آب منطقه‌ای، وزارت جهاد کشاورزی، سازمان حفاظت محیط زیست، سازمان برنامه‌وبودجه، استانداری‌ها، صنایع، تشکل‌های آب‌بران و بهره‌برداران محلی، هر یک با مأموریت‌ها، اختیارات و اولویت‌های متفاوت در این حوزه نقش دارند</w:t>
      </w:r>
      <w:r>
        <w:rPr>
          <w:rtl/>
        </w:rPr>
        <w:t xml:space="preserve">. </w:t>
      </w:r>
      <w:r>
        <w:rPr>
          <w:rFonts w:cs="Times New Roman"/>
          <w:rtl/>
        </w:rPr>
        <w:t>در چنین ساختاری، هم‌پوشانی یا ابهام در مسئولیت‌ها، تفاوت در اهداف بخشی، ناهماهنگی در تصمیم‌گیری و توزیع نامتوازن هزینه‌ها و منافع می‌تواند به تعارض میان نهادها بینجامد</w:t>
      </w:r>
      <w:r>
        <w:rPr>
          <w:rtl/>
        </w:rPr>
        <w:t>.</w:t>
      </w:r>
    </w:p>
    <w:p w14:paraId="6289055D" w14:textId="77777777" w:rsidR="00F403F8" w:rsidRDefault="00D33C50">
      <w:pPr>
        <w:pStyle w:val="BodyText"/>
        <w:rPr>
          <w:rtl/>
        </w:rPr>
      </w:pPr>
      <w:r>
        <w:rPr>
          <w:rFonts w:cs="Times New Roman"/>
          <w:rtl/>
        </w:rPr>
        <w:t>این تعارض‌ها ممکن است در تخصیص و بهره‌برداری از آب، اجرای برنامه‌های سازگاری با کم‌آب</w:t>
      </w:r>
      <w:r>
        <w:rPr>
          <w:rFonts w:cs="Times New Roman"/>
          <w:rtl/>
        </w:rPr>
        <w:t>ی، حفاظت از حقابه‌های محیط‌زیستی، توسعه کشاورزی و صنعت یا اجرای طرح‌های انتقال و ذخیره‌سازی بروز کند</w:t>
      </w:r>
      <w:r>
        <w:rPr>
          <w:rtl/>
        </w:rPr>
        <w:t xml:space="preserve">. </w:t>
      </w:r>
      <w:r>
        <w:rPr>
          <w:rFonts w:cs="Times New Roman"/>
          <w:rtl/>
        </w:rPr>
        <w:t>در نبود سازوکار روشن برای شناسایی، گفت‌وگو و حل اختلاف، تصمیم‌ها با تأخیر یا اجرای ناقص روبه‌رو می‌شوند و اعتماد میان دستگاه‌ها و ذی‌نفعان کاهش می‌یابد</w:t>
      </w:r>
      <w:r>
        <w:rPr>
          <w:rtl/>
        </w:rPr>
        <w:t xml:space="preserve">. </w:t>
      </w:r>
      <w:r>
        <w:rPr>
          <w:rFonts w:cs="Times New Roman"/>
          <w:rtl/>
        </w:rPr>
        <w:t>م</w:t>
      </w:r>
      <w:r>
        <w:rPr>
          <w:rFonts w:cs="Times New Roman"/>
          <w:rtl/>
        </w:rPr>
        <w:t>سئله محوری طرح، شناخت ساختار و ریشه‌های این تعارض‌ها، بررسی نقش قوانین و مناسبات نهادی در شکل‌گیری آن‌ها و طراحی راهکارهایی واقع‌بینانه برای کاهش و حل تعارض در چارچوب حکمرانی یکپارچه آب است</w:t>
      </w:r>
      <w:r>
        <w:rPr>
          <w:rtl/>
        </w:rPr>
        <w:t>.</w:t>
      </w:r>
    </w:p>
    <w:p w14:paraId="142760E8" w14:textId="40A5AA94" w:rsidR="00CD0066" w:rsidRDefault="00CD0066">
      <w:pPr>
        <w:pStyle w:val="BodyText"/>
      </w:pPr>
      <w:r w:rsidRPr="00CD0066">
        <w:rPr>
          <w:rFonts w:cs="Times New Roman"/>
          <w:rtl/>
        </w:rPr>
        <w:t>عواملي چون</w:t>
      </w:r>
      <w:r w:rsidRPr="00CD0066">
        <w:rPr>
          <w:rtl/>
        </w:rPr>
        <w:t xml:space="preserve">: (1) </w:t>
      </w:r>
      <w:r w:rsidRPr="00CD0066">
        <w:rPr>
          <w:rFonts w:cs="Times New Roman"/>
          <w:rtl/>
        </w:rPr>
        <w:t>چندمنظوره بودن پروژه</w:t>
      </w:r>
      <w:r w:rsidRPr="00CD0066">
        <w:rPr>
          <w:rtl/>
        </w:rPr>
        <w:t>­</w:t>
      </w:r>
      <w:r w:rsidRPr="00CD0066">
        <w:rPr>
          <w:rFonts w:cs="Times New Roman"/>
          <w:rtl/>
        </w:rPr>
        <w:t xml:space="preserve">هاي آبي؛ </w:t>
      </w:r>
      <w:r w:rsidRPr="00CD0066">
        <w:rPr>
          <w:rtl/>
        </w:rPr>
        <w:t xml:space="preserve">(2) </w:t>
      </w:r>
      <w:r w:rsidRPr="00CD0066">
        <w:rPr>
          <w:rFonts w:cs="Times New Roman"/>
          <w:rtl/>
        </w:rPr>
        <w:t xml:space="preserve">حضور تصمیم‌گیرندگان مختلف؛ </w:t>
      </w:r>
      <w:r w:rsidRPr="00CD0066">
        <w:rPr>
          <w:rtl/>
        </w:rPr>
        <w:t xml:space="preserve">(3)  </w:t>
      </w:r>
      <w:r w:rsidRPr="00CD0066">
        <w:rPr>
          <w:rFonts w:cs="Times New Roman"/>
          <w:rtl/>
        </w:rPr>
        <w:t xml:space="preserve">افزايش تصاعدي تقاضا؛ </w:t>
      </w:r>
      <w:r w:rsidRPr="00CD0066">
        <w:rPr>
          <w:rtl/>
        </w:rPr>
        <w:t xml:space="preserve">(4) </w:t>
      </w:r>
      <w:r w:rsidRPr="00CD0066">
        <w:rPr>
          <w:rFonts w:cs="Times New Roman"/>
          <w:rtl/>
        </w:rPr>
        <w:t xml:space="preserve">محدوديت منابع آب شيرين؛ </w:t>
      </w:r>
      <w:r w:rsidRPr="00CD0066">
        <w:rPr>
          <w:rtl/>
        </w:rPr>
        <w:t>(5)</w:t>
      </w:r>
      <w:r w:rsidRPr="00CD0066">
        <w:rPr>
          <w:rFonts w:cs="Times New Roman"/>
          <w:rtl/>
        </w:rPr>
        <w:t xml:space="preserve">؛ آلودگي روزافزون منابع آب؛ </w:t>
      </w:r>
      <w:r w:rsidRPr="00CD0066">
        <w:rPr>
          <w:rtl/>
        </w:rPr>
        <w:t xml:space="preserve">(6) </w:t>
      </w:r>
      <w:r w:rsidRPr="00CD0066">
        <w:rPr>
          <w:rFonts w:cs="Times New Roman"/>
          <w:rtl/>
        </w:rPr>
        <w:t>وجود حوزه</w:t>
      </w:r>
      <w:r w:rsidRPr="00CD0066">
        <w:rPr>
          <w:rtl/>
        </w:rPr>
        <w:t>­</w:t>
      </w:r>
      <w:r w:rsidRPr="00CD0066">
        <w:rPr>
          <w:rFonts w:cs="Times New Roman"/>
          <w:rtl/>
        </w:rPr>
        <w:t>هاي آبي مشترک و عوامل متعدد ديگر بهره‌برداری بهينه از منابع آب را به يک چالش جدي تبديل کرده است که در آن رويارويي با ناسازگاري</w:t>
      </w:r>
      <w:r w:rsidRPr="00CD0066">
        <w:rPr>
          <w:rtl/>
        </w:rPr>
        <w:t>­</w:t>
      </w:r>
      <w:r w:rsidRPr="00CD0066">
        <w:rPr>
          <w:rFonts w:cs="Times New Roman"/>
          <w:rtl/>
        </w:rPr>
        <w:t>ها و تعارض‌ها بين ذينفعان  مختلف بسيار دشوار می‌نماید</w:t>
      </w:r>
      <w:r w:rsidRPr="00CD0066">
        <w:rPr>
          <w:rtl/>
        </w:rPr>
        <w:t xml:space="preserve">. </w:t>
      </w:r>
      <w:r w:rsidRPr="00CD0066">
        <w:rPr>
          <w:rFonts w:cs="Times New Roman"/>
          <w:rtl/>
        </w:rPr>
        <w:t>بسياري از تعارض‌های آبي درون کشوري بوده و حتي ممکن است اين تعارض‌ها بين چند کشاورز محلي بر سر استفاده از يک آبخوان مشترک نيز به وجود آيد</w:t>
      </w:r>
      <w:r w:rsidRPr="00CD0066">
        <w:rPr>
          <w:rtl/>
        </w:rPr>
        <w:t xml:space="preserve">. </w:t>
      </w:r>
      <w:r w:rsidRPr="00CD0066">
        <w:rPr>
          <w:rFonts w:cs="Times New Roman"/>
          <w:rtl/>
        </w:rPr>
        <w:t>اين تعارض‌ها می‌تواند بين</w:t>
      </w:r>
      <w:r w:rsidRPr="00CD0066">
        <w:rPr>
          <w:rtl/>
        </w:rPr>
        <w:t>­</w:t>
      </w:r>
      <w:r w:rsidRPr="00CD0066">
        <w:rPr>
          <w:rFonts w:cs="Times New Roman"/>
          <w:rtl/>
        </w:rPr>
        <w:t xml:space="preserve">المللي باشد و حتي گستره آن به ناسازگاري و اختلاف بين چند کشور بر سر استفاده از يک حوزه آبي مشترک </w:t>
      </w:r>
      <w:r w:rsidRPr="00CD0066">
        <w:rPr>
          <w:rtl/>
        </w:rPr>
        <w:t>(</w:t>
      </w:r>
      <w:r w:rsidRPr="00CD0066">
        <w:rPr>
          <w:rFonts w:cs="Times New Roman"/>
          <w:rtl/>
        </w:rPr>
        <w:t>مثلاً رودخانه</w:t>
      </w:r>
      <w:r w:rsidRPr="00CD0066">
        <w:rPr>
          <w:rtl/>
        </w:rPr>
        <w:t xml:space="preserve">) </w:t>
      </w:r>
      <w:r w:rsidRPr="00CD0066">
        <w:rPr>
          <w:rFonts w:cs="Times New Roman"/>
          <w:rtl/>
        </w:rPr>
        <w:t>برسد</w:t>
      </w:r>
      <w:r w:rsidRPr="00CD0066">
        <w:rPr>
          <w:rtl/>
        </w:rPr>
        <w:t>.</w:t>
      </w:r>
      <w:r w:rsidRPr="00CD0066">
        <w:rPr>
          <w:rFonts w:cs="Times New Roman"/>
          <w:rtl/>
        </w:rPr>
        <w:t xml:space="preserve">شناسایی نهادهای ذیربط </w:t>
      </w:r>
      <w:r w:rsidRPr="00CD0066">
        <w:rPr>
          <w:rtl/>
        </w:rPr>
        <w:t>(</w:t>
      </w:r>
      <w:r w:rsidRPr="00CD0066">
        <w:rPr>
          <w:rFonts w:cs="Times New Roman"/>
          <w:rtl/>
        </w:rPr>
        <w:t>آب منطقه‌ای، آبفا، جهاد کشاورزی، محیط زیست، صنعت و معدن، دادگستری، فرمانداری</w:t>
      </w:r>
      <w:r w:rsidRPr="00CD0066">
        <w:rPr>
          <w:rtl/>
        </w:rPr>
        <w:t>)</w:t>
      </w:r>
      <w:r w:rsidRPr="00CD0066">
        <w:rPr>
          <w:rFonts w:cs="Times New Roman"/>
          <w:rtl/>
        </w:rPr>
        <w:t xml:space="preserve">، تحلیل تعارضات </w:t>
      </w:r>
      <w:r w:rsidRPr="00CD0066">
        <w:rPr>
          <w:rtl/>
        </w:rPr>
        <w:t>(</w:t>
      </w:r>
      <w:r w:rsidRPr="00CD0066">
        <w:rPr>
          <w:rFonts w:cs="Times New Roman"/>
          <w:rtl/>
        </w:rPr>
        <w:t>بر سر تخصیص، برداشت، کیفیت، حریم، داده، اختیارات قانونی، بودجه</w:t>
      </w:r>
      <w:r w:rsidRPr="00CD0066">
        <w:rPr>
          <w:rtl/>
        </w:rPr>
        <w:t xml:space="preserve">) </w:t>
      </w:r>
      <w:r w:rsidRPr="00CD0066">
        <w:rPr>
          <w:rFonts w:cs="Times New Roman"/>
          <w:rtl/>
        </w:rPr>
        <w:t xml:space="preserve">از طریق مصاحبه و بررسی اسناد، سطح‌بندی تعارضات </w:t>
      </w:r>
      <w:r w:rsidRPr="00CD0066">
        <w:rPr>
          <w:rtl/>
        </w:rPr>
        <w:t>(</w:t>
      </w:r>
      <w:r w:rsidRPr="00CD0066">
        <w:rPr>
          <w:rFonts w:cs="Times New Roman"/>
          <w:rtl/>
        </w:rPr>
        <w:t>ساختاری، فرآیندی، رفتاری</w:t>
      </w:r>
      <w:r w:rsidRPr="00CD0066">
        <w:rPr>
          <w:rtl/>
        </w:rPr>
        <w:t>)</w:t>
      </w:r>
      <w:r w:rsidRPr="00CD0066">
        <w:rPr>
          <w:rFonts w:cs="Times New Roman"/>
          <w:rtl/>
        </w:rPr>
        <w:t xml:space="preserve">، بررسی راهکارهای حل تعارض </w:t>
      </w:r>
      <w:r w:rsidRPr="00CD0066">
        <w:rPr>
          <w:rtl/>
        </w:rPr>
        <w:t>(</w:t>
      </w:r>
      <w:r w:rsidRPr="00CD0066">
        <w:rPr>
          <w:rFonts w:cs="Times New Roman"/>
          <w:rtl/>
        </w:rPr>
        <w:t>میانجیگری، بازطراحی فرآیندها، اصلاح قوانین، ایجاد سامانه هماهنگی</w:t>
      </w:r>
      <w:r w:rsidRPr="00CD0066">
        <w:rPr>
          <w:rtl/>
        </w:rPr>
        <w:t>)</w:t>
      </w:r>
      <w:r w:rsidRPr="00CD0066">
        <w:rPr>
          <w:rFonts w:cs="Times New Roman"/>
          <w:rtl/>
        </w:rPr>
        <w:t>، ارائه مدل حکمرانی یکپارچه و پیش‌نویس اصلاحات قانونی</w:t>
      </w:r>
      <w:r>
        <w:rPr>
          <w:rFonts w:cs="Times New Roman" w:hint="cs"/>
          <w:rtl/>
        </w:rPr>
        <w:t xml:space="preserve"> مورد هدف انجام این پروژه می باشد</w:t>
      </w:r>
      <w:r>
        <w:rPr>
          <w:rFonts w:hint="cs"/>
          <w:rtl/>
        </w:rPr>
        <w:t xml:space="preserve">. </w:t>
      </w:r>
    </w:p>
    <w:p w14:paraId="3D9FAE55" w14:textId="77777777" w:rsidR="00F403F8" w:rsidRDefault="00D33C50">
      <w:pPr>
        <w:pStyle w:val="Heading1"/>
      </w:pPr>
      <w:bookmarkStart w:id="3" w:name="ضرورت-اجرای-طرح"/>
      <w:bookmarkEnd w:id="2"/>
      <w:r>
        <w:rPr>
          <w:rFonts w:cs="Times New Roman"/>
          <w:rtl/>
        </w:rPr>
        <w:t>۳</w:t>
      </w:r>
      <w:r>
        <w:t> </w:t>
      </w:r>
      <w:r>
        <w:rPr>
          <w:rFonts w:cs="Times New Roman"/>
          <w:rtl/>
        </w:rPr>
        <w:t>ضرورت اجرای</w:t>
      </w:r>
      <w:r>
        <w:rPr>
          <w:rFonts w:cs="Times New Roman"/>
          <w:rtl/>
        </w:rPr>
        <w:t xml:space="preserve"> طرح</w:t>
      </w:r>
    </w:p>
    <w:p w14:paraId="31EFBBC9" w14:textId="77777777" w:rsidR="00F403F8" w:rsidRDefault="00D33C50">
      <w:pPr>
        <w:pStyle w:val="FirstParagraph"/>
      </w:pPr>
      <w:r>
        <w:rPr>
          <w:rFonts w:cs="Times New Roman"/>
          <w:rtl/>
        </w:rPr>
        <w:t>افزایش فشار بر منابع آب و تعدد اهداف توسعه‌ای و حفاظتی، هماهنگی مؤثر میان نهادها را به ضرورتی مدیریتی تبدیل کرده است</w:t>
      </w:r>
      <w:r>
        <w:rPr>
          <w:rtl/>
        </w:rPr>
        <w:t xml:space="preserve">. </w:t>
      </w:r>
      <w:r>
        <w:rPr>
          <w:rFonts w:cs="Times New Roman"/>
          <w:rtl/>
        </w:rPr>
        <w:t>حل‌نشدن تعارض‌های بین‌نهادی می‌تواند موجب تکرار تصمیم‌های متناقض، اتلاف منابع عمومی، کاهش اثربخشی برنامه‌های مدیریت آب و انتقال هزینه</w:t>
      </w:r>
      <w:r>
        <w:rPr>
          <w:rFonts w:cs="Times New Roman"/>
          <w:rtl/>
        </w:rPr>
        <w:t xml:space="preserve"> تصمیم‌ها به جوامع محلی و محیط زیست شود</w:t>
      </w:r>
      <w:r>
        <w:rPr>
          <w:rtl/>
        </w:rPr>
        <w:t xml:space="preserve">. </w:t>
      </w:r>
      <w:r>
        <w:rPr>
          <w:rFonts w:cs="Times New Roman"/>
          <w:rtl/>
        </w:rPr>
        <w:t>از سوی دیگر، ارائه راهکارهای کلی بدون شناخت روابط قدرت، محدودیت‌های حقوقی و تجربه زیسته ذی‌نفعان، احتمال پذیرش و اجرای آن‌ها را کاهش می‌دهد</w:t>
      </w:r>
      <w:r>
        <w:rPr>
          <w:rtl/>
        </w:rPr>
        <w:t>.</w:t>
      </w:r>
    </w:p>
    <w:p w14:paraId="5503DDBE" w14:textId="77777777" w:rsidR="00F403F8" w:rsidRDefault="00D33C50">
      <w:pPr>
        <w:pStyle w:val="BodyText"/>
      </w:pPr>
      <w:r>
        <w:rPr>
          <w:rFonts w:cs="Times New Roman"/>
          <w:rtl/>
        </w:rPr>
        <w:lastRenderedPageBreak/>
        <w:t xml:space="preserve">این طرح با فراهم‌کردن تصویری مستند از بازیگران، مسئولیت‌ها، نقاط اصطکاک و </w:t>
      </w:r>
      <w:r>
        <w:rPr>
          <w:rFonts w:cs="Times New Roman"/>
          <w:rtl/>
        </w:rPr>
        <w:t>مسیرهای تصمیم‌گیری، به تصمیم‌گیران کمک می‌کند راهکارها را متناسب با بستر واقعی طراحی کنند</w:t>
      </w:r>
      <w:r>
        <w:rPr>
          <w:rtl/>
        </w:rPr>
        <w:t xml:space="preserve">. </w:t>
      </w:r>
      <w:r>
        <w:rPr>
          <w:rFonts w:cs="Times New Roman"/>
          <w:rtl/>
        </w:rPr>
        <w:t>نتایج آن می‌تواند مبنایی برای بهبود هماهنگی بین‌بخشی، شفاف‌سازی مسئولیت‌ها، تقویت سازوکارهای مشارکتی و اولویت‌بندی اصلاحات قانونی و اجرایی باشد</w:t>
      </w:r>
      <w:r>
        <w:rPr>
          <w:rtl/>
        </w:rPr>
        <w:t xml:space="preserve">. </w:t>
      </w:r>
      <w:r>
        <w:rPr>
          <w:rFonts w:cs="Times New Roman"/>
          <w:rtl/>
        </w:rPr>
        <w:t>تمرکز بر یک حوضه آبر</w:t>
      </w:r>
      <w:r>
        <w:rPr>
          <w:rFonts w:cs="Times New Roman"/>
          <w:rtl/>
        </w:rPr>
        <w:t>یز یا پهنه بحرانی به‌عنوان مطالعه موردی، امکان پیوند دادن تحلیل نهادی با شرایط مکانی و اجتماعی را افزایش می‌دهد</w:t>
      </w:r>
      <w:r>
        <w:rPr>
          <w:rtl/>
        </w:rPr>
        <w:t>.</w:t>
      </w:r>
    </w:p>
    <w:p w14:paraId="105EA60E" w14:textId="77777777" w:rsidR="00F403F8" w:rsidRDefault="00D33C50">
      <w:pPr>
        <w:pStyle w:val="Heading1"/>
      </w:pPr>
      <w:bookmarkStart w:id="4" w:name="مشخصات-فنی"/>
      <w:bookmarkEnd w:id="3"/>
      <w:r>
        <w:rPr>
          <w:rFonts w:cs="Times New Roman"/>
          <w:rtl/>
        </w:rPr>
        <w:t>۴</w:t>
      </w:r>
      <w:r>
        <w:t> </w:t>
      </w:r>
      <w:r>
        <w:rPr>
          <w:rFonts w:cs="Times New Roman"/>
          <w:rtl/>
        </w:rPr>
        <w:t>مشخصات فنی</w:t>
      </w:r>
    </w:p>
    <w:p w14:paraId="1A152D5F" w14:textId="77777777" w:rsidR="00F403F8" w:rsidRDefault="00D33C50">
      <w:pPr>
        <w:pStyle w:val="FirstParagraph"/>
      </w:pPr>
      <w:r>
        <w:rPr>
          <w:rFonts w:cs="Times New Roman"/>
          <w:b/>
          <w:bCs/>
          <w:rtl/>
        </w:rPr>
        <w:t>رویکرد و چارچوب تحلیلی</w:t>
      </w:r>
      <w:r>
        <w:rPr>
          <w:b/>
          <w:bCs/>
          <w:rtl/>
        </w:rPr>
        <w:t>:</w:t>
      </w:r>
      <w:r>
        <w:rPr>
          <w:rFonts w:cs="Times New Roman"/>
          <w:rtl/>
        </w:rPr>
        <w:t xml:space="preserve"> طرح با رویکرد میان‌رشته‌ای و ترکیب تحلیل نهادی، سیاست‌گذاری آب و مدیریت تعارض اجرا می‌شود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چارچوب تحلیل و </w:t>
      </w:r>
      <w:r>
        <w:rPr>
          <w:rFonts w:cs="Times New Roman"/>
          <w:rtl/>
        </w:rPr>
        <w:t xml:space="preserve">توسعه نهادی </w:t>
      </w:r>
      <w:r>
        <w:t xml:space="preserve">(IAD) </w:t>
      </w:r>
      <w:r>
        <w:rPr>
          <w:rFonts w:cs="Times New Roman"/>
          <w:rtl/>
        </w:rPr>
        <w:t xml:space="preserve">و دیدگاه نظام‌های اجتماعی‌ـ‌اکولوژیکی </w:t>
      </w:r>
      <w:r>
        <w:t xml:space="preserve">(SES) </w:t>
      </w:r>
      <w:r>
        <w:rPr>
          <w:rFonts w:cs="Times New Roman"/>
          <w:rtl/>
        </w:rPr>
        <w:t>برای بررسی قواعد، کنشگران و بستر تصمیم‌گیری به‌کار گرفته می‌شوند</w:t>
      </w:r>
      <w:r>
        <w:rPr>
          <w:rtl/>
        </w:rPr>
        <w:t xml:space="preserve">. </w:t>
      </w:r>
      <w:r>
        <w:rPr>
          <w:rFonts w:cs="Times New Roman"/>
          <w:rtl/>
        </w:rPr>
        <w:t>در صورت تناسب با مسئله پایلوت، پیوند آب، انرژی، غذا و محیط زیست نیز برای شناسایی آثار تصمیم‌های بخشی لحاظ خواهد شد</w:t>
      </w:r>
      <w:r>
        <w:rPr>
          <w:rtl/>
        </w:rPr>
        <w:t>.</w:t>
      </w:r>
    </w:p>
    <w:p w14:paraId="397A5786" w14:textId="77777777" w:rsidR="00F403F8" w:rsidRDefault="00D33C50">
      <w:pPr>
        <w:pStyle w:val="BodyText"/>
      </w:pPr>
      <w:r>
        <w:rPr>
          <w:rFonts w:cs="Times New Roman"/>
          <w:b/>
          <w:bCs/>
          <w:rtl/>
        </w:rPr>
        <w:t>محدوده مطالع</w:t>
      </w:r>
      <w:r>
        <w:rPr>
          <w:rFonts w:cs="Times New Roman"/>
          <w:b/>
          <w:bCs/>
          <w:rtl/>
        </w:rPr>
        <w:t>ه و ذی‌نفعان</w:t>
      </w:r>
      <w:r>
        <w:rPr>
          <w:b/>
          <w:bCs/>
          <w:rtl/>
        </w:rPr>
        <w:t>:</w:t>
      </w:r>
      <w:r>
        <w:rPr>
          <w:rFonts w:cs="Times New Roman"/>
          <w:rtl/>
        </w:rPr>
        <w:t xml:space="preserve"> در آغاز، محدوده جغرافیایی پایلوت و پرسش‌های محوری با کارفرما و ناظر علمی نهایی می‌شود</w:t>
      </w:r>
      <w:r>
        <w:rPr>
          <w:rtl/>
        </w:rPr>
        <w:t xml:space="preserve">. </w:t>
      </w:r>
      <w:r>
        <w:rPr>
          <w:rFonts w:cs="Times New Roman"/>
          <w:rtl/>
        </w:rPr>
        <w:t>بازیگران در سطوح ملی، حوضه‌ای، استانی و محلی شناسایی و بر پایه نقش، اختیار، میزان اثرپذیری و نفوذ دسته‌بندی خواهند شد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انتخاب پایلوت باید با توجه به شدت و </w:t>
      </w:r>
      <w:r>
        <w:rPr>
          <w:rFonts w:cs="Times New Roman"/>
          <w:rtl/>
        </w:rPr>
        <w:t>تنوع تعارض‌ها، دسترسی به داده و امکان مشارکت ذی‌نفعان انجام شود</w:t>
      </w:r>
      <w:r>
        <w:rPr>
          <w:rtl/>
        </w:rPr>
        <w:t>.</w:t>
      </w:r>
    </w:p>
    <w:p w14:paraId="257C8A7F" w14:textId="77777777" w:rsidR="00F403F8" w:rsidRDefault="00D33C50">
      <w:pPr>
        <w:pStyle w:val="BodyText"/>
      </w:pPr>
      <w:r>
        <w:rPr>
          <w:rFonts w:cs="Times New Roman"/>
          <w:b/>
          <w:bCs/>
          <w:rtl/>
        </w:rPr>
        <w:t>گردآوری و تحلیل داده‌ها</w:t>
      </w:r>
      <w:r>
        <w:rPr>
          <w:b/>
          <w:bCs/>
          <w:rtl/>
        </w:rPr>
        <w:t>:</w:t>
      </w:r>
      <w:r>
        <w:rPr>
          <w:rFonts w:cs="Times New Roman"/>
          <w:rtl/>
        </w:rPr>
        <w:t xml:space="preserve"> داده‌ها از سه مسیر گردآوری می‌شوند</w:t>
      </w:r>
      <w:r>
        <w:rPr>
          <w:rtl/>
        </w:rPr>
        <w:t xml:space="preserve">: </w:t>
      </w:r>
      <w:r>
        <w:rPr>
          <w:rFonts w:cs="Times New Roman"/>
          <w:rtl/>
        </w:rPr>
        <w:t xml:space="preserve">مرور قوانین، آیین‌نامه‌ها، مصوبات و اسناد برنامه‌ای مرتبط؛ مصاحبه‌های نیمه‌ساختاریافته با مدیران، کارشناسان و نمایندگان ذی‌نفعان؛ </w:t>
      </w:r>
      <w:r>
        <w:rPr>
          <w:rFonts w:cs="Times New Roman"/>
          <w:rtl/>
        </w:rPr>
        <w:t>و در صورت امکان، گروه‌های کانونی یا نشست‌های چندجانبه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حجم نمونه مصاحبه‌ها بر مبنای تنوع بازیگران و رسیدن به کفایت اطلاعات تعیین می‌شود؛ دامنه اولیه </w:t>
      </w:r>
      <w:r>
        <w:rPr>
          <w:rFonts w:cs="Times New Roman"/>
          <w:rtl/>
        </w:rPr>
        <w:t>۳۰</w:t>
      </w:r>
      <w:r>
        <w:t xml:space="preserve"> </w:t>
      </w:r>
      <w:r>
        <w:rPr>
          <w:rFonts w:cs="Times New Roman"/>
          <w:rtl/>
        </w:rPr>
        <w:t xml:space="preserve">تا </w:t>
      </w:r>
      <w:r>
        <w:rPr>
          <w:rFonts w:cs="Times New Roman"/>
          <w:rtl/>
        </w:rPr>
        <w:t>۵۰</w:t>
      </w:r>
      <w:r>
        <w:t xml:space="preserve"> </w:t>
      </w:r>
      <w:r>
        <w:rPr>
          <w:rFonts w:cs="Times New Roman"/>
          <w:rtl/>
        </w:rPr>
        <w:t>مصاحبه برای پایلوت قابل بررسی است و باید متناسب با دسترسی و دامنه نهایی تعدیل شود</w:t>
      </w:r>
      <w:r>
        <w:rPr>
          <w:rtl/>
        </w:rPr>
        <w:t xml:space="preserve">. </w:t>
      </w:r>
      <w:r>
        <w:rPr>
          <w:rFonts w:cs="Times New Roman"/>
          <w:rtl/>
        </w:rPr>
        <w:t>تحلیل مضمون برا</w:t>
      </w:r>
      <w:r>
        <w:rPr>
          <w:rFonts w:cs="Times New Roman"/>
          <w:rtl/>
        </w:rPr>
        <w:t>ی استخراج ریشه‌ها و الگوهای تعارض به‌کار می‌رود</w:t>
      </w:r>
      <w:r>
        <w:rPr>
          <w:rtl/>
        </w:rPr>
        <w:t xml:space="preserve">. </w:t>
      </w:r>
      <w:r>
        <w:rPr>
          <w:rFonts w:cs="Times New Roman"/>
          <w:rtl/>
        </w:rPr>
        <w:t>نقشه ذی‌نفعان و تحلیل شبکه می‌تواند جریان اطلاعات و روابط همکاری یا اختلاف را نشان دهد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برای تعارض‌های منتخب، از مدل‌سازی کیفی یا نیمه‌کمّی، از جمله نظریه بازی‌ها یا مدل گرافی حل تعارض </w:t>
      </w:r>
      <w:r>
        <w:t>(GMCR)</w:t>
      </w:r>
      <w:r>
        <w:rPr>
          <w:rFonts w:cs="Times New Roman"/>
          <w:rtl/>
        </w:rPr>
        <w:t>،</w:t>
      </w:r>
      <w:r>
        <w:t xml:space="preserve"> </w:t>
      </w:r>
      <w:r>
        <w:rPr>
          <w:rFonts w:cs="Times New Roman"/>
          <w:rtl/>
        </w:rPr>
        <w:t>استفاده می‌شود</w:t>
      </w:r>
      <w:r>
        <w:rPr>
          <w:rFonts w:cs="Times New Roman"/>
          <w:rtl/>
        </w:rPr>
        <w:t>؛ انتخاب ابزار تابع داده‌های در دسترس و قابلیت تفسیر نتایج خواهد بود</w:t>
      </w:r>
      <w:r>
        <w:rPr>
          <w:rtl/>
        </w:rPr>
        <w:t>.</w:t>
      </w:r>
    </w:p>
    <w:p w14:paraId="35D9E34F" w14:textId="77777777" w:rsidR="00F403F8" w:rsidRDefault="00D33C50">
      <w:pPr>
        <w:pStyle w:val="BodyText"/>
      </w:pPr>
      <w:r>
        <w:rPr>
          <w:rFonts w:cs="Times New Roman"/>
          <w:b/>
          <w:bCs/>
          <w:rtl/>
        </w:rPr>
        <w:t>استانداردهای اجرایی و اخلاقی</w:t>
      </w:r>
      <w:r>
        <w:rPr>
          <w:b/>
          <w:bCs/>
          <w:rtl/>
        </w:rPr>
        <w:t>:</w:t>
      </w:r>
      <w:r>
        <w:rPr>
          <w:rFonts w:cs="Times New Roman"/>
          <w:rtl/>
        </w:rPr>
        <w:t xml:space="preserve"> تحلیل اسناد حقوقی باید نسخه و وضعیت اعتبار هر سند را بررسی کند و میان الزام قانونی و پیشنهاد سیاستی تمایز بگذارد</w:t>
      </w:r>
      <w:r>
        <w:rPr>
          <w:rtl/>
        </w:rPr>
        <w:t xml:space="preserve">. </w:t>
      </w:r>
      <w:r>
        <w:rPr>
          <w:rFonts w:cs="Times New Roman"/>
          <w:rtl/>
        </w:rPr>
        <w:t>اصول حکمرانی آب سازمان همکاری و توسعه اقتص</w:t>
      </w:r>
      <w:r>
        <w:rPr>
          <w:rFonts w:cs="Times New Roman"/>
          <w:rtl/>
        </w:rPr>
        <w:t xml:space="preserve">ادی </w:t>
      </w:r>
      <w:r>
        <w:t xml:space="preserve">(OECD) </w:t>
      </w:r>
      <w:r>
        <w:rPr>
          <w:rFonts w:cs="Times New Roman"/>
          <w:rtl/>
        </w:rPr>
        <w:t xml:space="preserve">و مدیریت یکپارچه منابع آب </w:t>
      </w:r>
      <w:r>
        <w:t xml:space="preserve">(IWRM) </w:t>
      </w:r>
      <w:r>
        <w:rPr>
          <w:rFonts w:cs="Times New Roman"/>
          <w:rtl/>
        </w:rPr>
        <w:t>می‌توانند به‌عنوان چارچوب‌های ارزیابی تطبیقی به‌کار روند، نه جایگزین قوانین داخلی</w:t>
      </w:r>
      <w:r>
        <w:rPr>
          <w:rtl/>
        </w:rPr>
        <w:t xml:space="preserve">. </w:t>
      </w:r>
      <w:r>
        <w:rPr>
          <w:rFonts w:cs="Times New Roman"/>
          <w:rtl/>
        </w:rPr>
        <w:t>مشارکت پژوهشگران و مصاحبه‌شوندگان بر پایه رضایت آگاهانه، محرمانگی اطلاعات، ثبت امن داده‌ها و اعلام تعارض منافع انجام می‌شود</w:t>
      </w:r>
      <w:r>
        <w:rPr>
          <w:rtl/>
        </w:rPr>
        <w:t>.</w:t>
      </w:r>
    </w:p>
    <w:p w14:paraId="02F217E2" w14:textId="77777777" w:rsidR="00F403F8" w:rsidRDefault="00D33C50">
      <w:pPr>
        <w:pStyle w:val="BodyText"/>
      </w:pPr>
      <w:r>
        <w:rPr>
          <w:rFonts w:cs="Times New Roman"/>
          <w:b/>
          <w:bCs/>
          <w:rtl/>
        </w:rPr>
        <w:t>کنترل کیفیت</w:t>
      </w:r>
      <w:r>
        <w:rPr>
          <w:b/>
          <w:bCs/>
          <w:rtl/>
        </w:rPr>
        <w:t>:</w:t>
      </w:r>
      <w:r>
        <w:rPr>
          <w:rFonts w:cs="Times New Roman"/>
          <w:rtl/>
        </w:rPr>
        <w:t xml:space="preserve"> یافته‌های اسنادی، مصاحبه‌ای و داده‌های زمینه‌ای تا حد امکان با یکدیگر مثلث‌سازی می‌شوند</w:t>
      </w:r>
      <w:r>
        <w:rPr>
          <w:rtl/>
        </w:rPr>
        <w:t xml:space="preserve">. </w:t>
      </w:r>
      <w:r>
        <w:rPr>
          <w:rFonts w:cs="Times New Roman"/>
          <w:rtl/>
        </w:rPr>
        <w:t>چارچوب مفهومی و ابزارها پیش از اجرا به بازبینی متخصصان سپرده می‌شوند و راهکارهای پیشنهادی در نشست اعتبارسنجی با نمایندگان نهادهای اصلی و ذی‌نفعان بررسی خو</w:t>
      </w:r>
      <w:r>
        <w:rPr>
          <w:rFonts w:cs="Times New Roman"/>
          <w:rtl/>
        </w:rPr>
        <w:t>اهند شد</w:t>
      </w:r>
      <w:r>
        <w:rPr>
          <w:rtl/>
        </w:rPr>
        <w:t>.</w:t>
      </w:r>
    </w:p>
    <w:p w14:paraId="1C8AE5D6" w14:textId="77777777" w:rsidR="00F403F8" w:rsidRDefault="00D33C50">
      <w:pPr>
        <w:pStyle w:val="Heading1"/>
      </w:pPr>
      <w:bookmarkStart w:id="5" w:name="نتایج-مورد-انتظار"/>
      <w:bookmarkEnd w:id="4"/>
      <w:r>
        <w:rPr>
          <w:rFonts w:cs="Times New Roman"/>
          <w:rtl/>
        </w:rPr>
        <w:t>۵</w:t>
      </w:r>
      <w:r>
        <w:t> </w:t>
      </w:r>
      <w:r>
        <w:rPr>
          <w:rFonts w:cs="Times New Roman"/>
          <w:rtl/>
        </w:rPr>
        <w:t>نتایج مورد انتظار</w:t>
      </w:r>
    </w:p>
    <w:p w14:paraId="17A00715" w14:textId="77777777" w:rsidR="00F403F8" w:rsidRDefault="00D33C50">
      <w:pPr>
        <w:pStyle w:val="FirstParagraph"/>
      </w:pPr>
      <w:r>
        <w:rPr>
          <w:rFonts w:cs="Times New Roman"/>
          <w:rtl/>
        </w:rPr>
        <w:t xml:space="preserve">نتیجه نهایی طرح، </w:t>
      </w:r>
      <w:r>
        <w:rPr>
          <w:rFonts w:cs="Times New Roman"/>
          <w:b/>
          <w:bCs/>
          <w:rtl/>
        </w:rPr>
        <w:t>بسته سیاستی‌ـ‌عملیاتی حل تعارض‌های بین‌نهادی</w:t>
      </w:r>
      <w:r>
        <w:rPr>
          <w:rFonts w:cs="Times New Roman"/>
          <w:rtl/>
        </w:rPr>
        <w:t xml:space="preserve"> است که ریشه‌ها و الگوهای تعارض را تحلیل می‌کند و برای کاهش آن‌ها راهکارهای قابل اجرا ارائه می‌دهد</w:t>
      </w:r>
      <w:r>
        <w:rPr>
          <w:rtl/>
        </w:rPr>
        <w:t xml:space="preserve">. </w:t>
      </w:r>
      <w:r>
        <w:rPr>
          <w:rFonts w:cs="Times New Roman"/>
          <w:rtl/>
        </w:rPr>
        <w:t>این بسته می‌تواند شامل موارد زیر باشد</w:t>
      </w:r>
      <w:r>
        <w:rPr>
          <w:rtl/>
        </w:rPr>
        <w:t>:</w:t>
      </w:r>
    </w:p>
    <w:p w14:paraId="713C6DEB" w14:textId="77777777" w:rsidR="00F403F8" w:rsidRDefault="00D33C50">
      <w:pPr>
        <w:pStyle w:val="Compact"/>
        <w:numPr>
          <w:ilvl w:val="0"/>
          <w:numId w:val="2"/>
        </w:numPr>
      </w:pPr>
      <w:r>
        <w:rPr>
          <w:rFonts w:cs="Times New Roman"/>
          <w:rtl/>
        </w:rPr>
        <w:t xml:space="preserve">گزارش شناخت نهادی و حقوقی، </w:t>
      </w:r>
      <w:r>
        <w:rPr>
          <w:rFonts w:cs="Times New Roman"/>
          <w:rtl/>
        </w:rPr>
        <w:t>شامل نقشه بازیگران، مسئولیت‌ها، هم‌پوشانی‌ها و خلأهای مقرراتی؛</w:t>
      </w:r>
    </w:p>
    <w:p w14:paraId="3651C08A" w14:textId="77777777" w:rsidR="00F403F8" w:rsidRDefault="00D33C50">
      <w:pPr>
        <w:pStyle w:val="Compact"/>
        <w:numPr>
          <w:ilvl w:val="0"/>
          <w:numId w:val="2"/>
        </w:numPr>
      </w:pPr>
      <w:r>
        <w:rPr>
          <w:rFonts w:cs="Times New Roman"/>
          <w:rtl/>
        </w:rPr>
        <w:t>مدل یا اطلس تعارض‌های منتخب در پایلوت، همراه با تحلیل عوامل اثرگذار و مسیرهای تصمیم‌گیری؛</w:t>
      </w:r>
    </w:p>
    <w:p w14:paraId="795444D2" w14:textId="77777777" w:rsidR="00F403F8" w:rsidRDefault="00D33C50">
      <w:pPr>
        <w:pStyle w:val="Compact"/>
        <w:numPr>
          <w:ilvl w:val="0"/>
          <w:numId w:val="2"/>
        </w:numPr>
      </w:pPr>
      <w:r>
        <w:rPr>
          <w:rFonts w:cs="Times New Roman"/>
          <w:rtl/>
        </w:rPr>
        <w:t>پیشنهاد سازوکارهای هماهنگی، مذاکره، میانجی‌گری، تبادل اطلاعات و مشارکت ذی‌نفعان؛</w:t>
      </w:r>
    </w:p>
    <w:p w14:paraId="30E13290" w14:textId="77777777" w:rsidR="00F403F8" w:rsidRDefault="00D33C50">
      <w:pPr>
        <w:pStyle w:val="Compact"/>
        <w:numPr>
          <w:ilvl w:val="0"/>
          <w:numId w:val="2"/>
        </w:numPr>
      </w:pPr>
      <w:r>
        <w:rPr>
          <w:rFonts w:cs="Times New Roman"/>
          <w:rtl/>
        </w:rPr>
        <w:t>نقشه راه اجرایی برای ا</w:t>
      </w:r>
      <w:r>
        <w:rPr>
          <w:rFonts w:cs="Times New Roman"/>
          <w:rtl/>
        </w:rPr>
        <w:t>ولویت‌بندی اقدامات، تعیین مسئولیت نهادها و پایش پیشرفت؛ و در صورت احراز نیاز، پیش‌نویس پیشنهادهای اصلاحی برای آیین‌نامه‌ها یا مصوبات مرتبط</w:t>
      </w:r>
      <w:r>
        <w:rPr>
          <w:rtl/>
        </w:rPr>
        <w:t>.</w:t>
      </w:r>
    </w:p>
    <w:p w14:paraId="4A5D84F8" w14:textId="77777777" w:rsidR="00F403F8" w:rsidRDefault="00D33C50">
      <w:pPr>
        <w:pStyle w:val="FirstParagraph"/>
      </w:pPr>
      <w:r>
        <w:rPr>
          <w:rFonts w:cs="Times New Roman"/>
          <w:rtl/>
        </w:rPr>
        <w:t>خروجی فشرده طرح عبارت است از تدوین سند راهبردی حل تعارض‌های بین‌نهادی، مشتمل بر مدل تحلیلی تعارض‌سنجی و نقشه راه اصل</w:t>
      </w:r>
      <w:r>
        <w:rPr>
          <w:rFonts w:cs="Times New Roman"/>
          <w:rtl/>
        </w:rPr>
        <w:t>اح فرایندهای تصمیم‌گیری و هماهنگی بین‌بخشی در حوضه آبریز منتخب</w:t>
      </w:r>
      <w:r>
        <w:rPr>
          <w:rtl/>
        </w:rPr>
        <w:t xml:space="preserve">. </w:t>
      </w:r>
      <w:r>
        <w:rPr>
          <w:rFonts w:cs="Times New Roman"/>
          <w:rtl/>
        </w:rPr>
        <w:t>پیشنهادهای نهایی باید از نظر امکان اجرا، هزینه نهادی، پذیرش ذی‌نفعان و سازگاری با قوانین جاری ارزیابی شوند</w:t>
      </w:r>
      <w:r>
        <w:rPr>
          <w:rtl/>
        </w:rPr>
        <w:t>.</w:t>
      </w:r>
      <w:bookmarkEnd w:id="5"/>
    </w:p>
    <w:sectPr w:rsidR="00F403F8">
      <w:headerReference w:type="default" r:id="rId7"/>
      <w:footerReference w:type="default" r:id="rId8"/>
      <w:pgSz w:w="11906" w:h="16838"/>
      <w:pgMar w:top="1417" w:right="1417" w:bottom="1417" w:left="1417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FB292A" w14:textId="77777777" w:rsidR="00D33C50" w:rsidRDefault="00D33C50">
      <w:pPr>
        <w:spacing w:after="0"/>
      </w:pPr>
      <w:r>
        <w:separator/>
      </w:r>
    </w:p>
  </w:endnote>
  <w:endnote w:type="continuationSeparator" w:id="0">
    <w:p w14:paraId="2DF4F07C" w14:textId="77777777" w:rsidR="00D33C50" w:rsidRDefault="00D33C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azirmatn">
    <w:charset w:val="00"/>
    <w:family w:val="swiss"/>
    <w:pitch w:val="variable"/>
    <w:embedRegular r:id="rId1" w:subsetted="1" w:fontKey="{019F4181-0EB9-4DAF-B417-CCF80DC66ACD}"/>
    <w:embedBold r:id="rId2" w:subsetted="1" w:fontKey="{4933B3B1-F600-41D2-AB03-42B6D2567BF2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3" w:fontKey="{CB048748-C741-44F4-B14E-874022E0BB02}"/>
    <w:embedBold r:id="rId4" w:fontKey="{029374A4-AF99-4C31-A9CB-8387BAA83C28}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1F15F7" w14:textId="77777777" w:rsidR="00F403F8" w:rsidRDefault="00D33C50">
    <w:pPr>
      <w:jc w:val="center"/>
    </w:pPr>
    <w:r>
      <w:fldChar w:fldCharType="begin"/>
    </w:r>
    <w:r>
      <w:instrText>PAGE</w:instrText>
    </w:r>
    <w:r>
      <w:fldChar w:fldCharType="separate"/>
    </w:r>
    <w:r w:rsidR="00FE11F6">
      <w:rPr>
        <w:rFonts w:cs="Times New Roman"/>
        <w:noProof/>
        <w:rtl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586224" w14:textId="77777777" w:rsidR="00D33C50" w:rsidRDefault="00D33C50">
      <w:r>
        <w:separator/>
      </w:r>
    </w:p>
  </w:footnote>
  <w:footnote w:type="continuationSeparator" w:id="0">
    <w:p w14:paraId="2F2C2CF5" w14:textId="77777777" w:rsidR="00D33C50" w:rsidRDefault="00D33C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EFF7C9" w14:textId="77777777" w:rsidR="00F403F8" w:rsidRDefault="00D33C50">
    <w:pPr>
      <w:jc w:val="center"/>
    </w:pPr>
    <w:r>
      <w:rPr>
        <w:rFonts w:cs="Times New Roman"/>
        <w:color w:val="808080"/>
        <w:sz w:val="18"/>
        <w:szCs w:val="18"/>
        <w:rtl/>
      </w:rPr>
      <w:t>تحلیل تعارض‌ها</w:t>
    </w:r>
    <w:r>
      <w:rPr>
        <w:rFonts w:cs="Times New Roman"/>
        <w:color w:val="808080"/>
        <w:sz w:val="18"/>
        <w:szCs w:val="18"/>
        <w:rtl/>
      </w:rPr>
      <w:t>ی بین‌نهادی در مدیریت منابع آب و تدوین راهکارهای حل تعارض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A990"/>
    <w:multiLevelType w:val="multilevel"/>
    <w:tmpl w:val="B9B00918"/>
    <w:lvl w:ilvl="0">
      <w:numFmt w:val="bullet"/>
      <w:lvlText w:val=" "/>
      <w:lvlJc w:val="right"/>
      <w:pPr>
        <w:ind w:right="720" w:hanging="480"/>
      </w:pPr>
    </w:lvl>
    <w:lvl w:ilvl="1">
      <w:numFmt w:val="bullet"/>
      <w:lvlText w:val=" "/>
      <w:lvlJc w:val="right"/>
      <w:pPr>
        <w:ind w:right="1440" w:hanging="480"/>
      </w:pPr>
    </w:lvl>
    <w:lvl w:ilvl="2">
      <w:numFmt w:val="bullet"/>
      <w:lvlText w:val=" "/>
      <w:lvlJc w:val="right"/>
      <w:pPr>
        <w:ind w:right="2160" w:hanging="480"/>
      </w:pPr>
    </w:lvl>
    <w:lvl w:ilvl="3">
      <w:numFmt w:val="bullet"/>
      <w:lvlText w:val=" "/>
      <w:lvlJc w:val="right"/>
      <w:pPr>
        <w:ind w:right="2880" w:hanging="480"/>
      </w:pPr>
    </w:lvl>
    <w:lvl w:ilvl="4">
      <w:numFmt w:val="bullet"/>
      <w:lvlText w:val=" "/>
      <w:lvlJc w:val="right"/>
      <w:pPr>
        <w:ind w:right="3600" w:hanging="480"/>
      </w:pPr>
    </w:lvl>
    <w:lvl w:ilvl="5">
      <w:numFmt w:val="bullet"/>
      <w:lvlText w:val=" "/>
      <w:lvlJc w:val="right"/>
      <w:pPr>
        <w:ind w:right="4320" w:hanging="480"/>
      </w:pPr>
    </w:lvl>
    <w:lvl w:ilvl="6">
      <w:numFmt w:val="bullet"/>
      <w:lvlText w:val=" "/>
      <w:lvlJc w:val="right"/>
      <w:pPr>
        <w:ind w:right="5040" w:hanging="480"/>
      </w:pPr>
    </w:lvl>
    <w:lvl w:ilvl="7">
      <w:numFmt w:val="bullet"/>
      <w:lvlText w:val=" "/>
      <w:lvlJc w:val="right"/>
      <w:pPr>
        <w:ind w:right="5760" w:hanging="480"/>
      </w:pPr>
    </w:lvl>
    <w:lvl w:ilvl="8">
      <w:numFmt w:val="bullet"/>
      <w:lvlText w:val=" "/>
      <w:lvlJc w:val="right"/>
      <w:pPr>
        <w:ind w:right="6480" w:hanging="480"/>
      </w:pPr>
    </w:lvl>
  </w:abstractNum>
  <w:abstractNum w:abstractNumId="1">
    <w:nsid w:val="0000A991"/>
    <w:multiLevelType w:val="multilevel"/>
    <w:tmpl w:val="9B20C9AC"/>
    <w:lvl w:ilvl="0">
      <w:numFmt w:val="bullet"/>
      <w:lvlText w:val="•"/>
      <w:lvlJc w:val="right"/>
      <w:pPr>
        <w:ind w:right="720" w:hanging="480"/>
      </w:pPr>
    </w:lvl>
    <w:lvl w:ilvl="1">
      <w:numFmt w:val="bullet"/>
      <w:lvlText w:val="–"/>
      <w:lvlJc w:val="right"/>
      <w:pPr>
        <w:ind w:right="1440" w:hanging="480"/>
      </w:pPr>
    </w:lvl>
    <w:lvl w:ilvl="2">
      <w:numFmt w:val="bullet"/>
      <w:lvlText w:val="•"/>
      <w:lvlJc w:val="right"/>
      <w:pPr>
        <w:ind w:right="2160" w:hanging="480"/>
      </w:pPr>
    </w:lvl>
    <w:lvl w:ilvl="3">
      <w:numFmt w:val="bullet"/>
      <w:lvlText w:val="–"/>
      <w:lvlJc w:val="right"/>
      <w:pPr>
        <w:ind w:right="2880" w:hanging="480"/>
      </w:pPr>
    </w:lvl>
    <w:lvl w:ilvl="4">
      <w:numFmt w:val="bullet"/>
      <w:lvlText w:val="•"/>
      <w:lvlJc w:val="right"/>
      <w:pPr>
        <w:ind w:right="3600" w:hanging="480"/>
      </w:pPr>
    </w:lvl>
    <w:lvl w:ilvl="5">
      <w:numFmt w:val="bullet"/>
      <w:lvlText w:val="–"/>
      <w:lvlJc w:val="right"/>
      <w:pPr>
        <w:ind w:right="4320" w:hanging="480"/>
      </w:pPr>
    </w:lvl>
    <w:lvl w:ilvl="6">
      <w:numFmt w:val="bullet"/>
      <w:lvlText w:val="•"/>
      <w:lvlJc w:val="right"/>
      <w:pPr>
        <w:ind w:right="5040" w:hanging="480"/>
      </w:pPr>
    </w:lvl>
    <w:lvl w:ilvl="7">
      <w:numFmt w:val="bullet"/>
      <w:lvlText w:val="–"/>
      <w:lvlJc w:val="right"/>
      <w:pPr>
        <w:ind w:right="5760" w:hanging="480"/>
      </w:pPr>
    </w:lvl>
    <w:lvl w:ilvl="8">
      <w:numFmt w:val="bullet"/>
      <w:lvlText w:val="•"/>
      <w:lvlJc w:val="right"/>
      <w:pPr>
        <w:ind w:right="648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03F8"/>
    <w:rsid w:val="002B489C"/>
    <w:rsid w:val="00424A9B"/>
    <w:rsid w:val="004464E5"/>
    <w:rsid w:val="00572595"/>
    <w:rsid w:val="008A24AF"/>
    <w:rsid w:val="00BA6E0F"/>
    <w:rsid w:val="00CD0066"/>
    <w:rsid w:val="00D33C50"/>
    <w:rsid w:val="00F403F8"/>
    <w:rsid w:val="00FE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555C6"/>
  <w15:docId w15:val="{81441494-FC5D-49CD-B8CB-C3AB93F6C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azirmatn" w:eastAsia="Vazirmatn" w:hAnsi="Vazirmatn" w:cs="Vazirmatn"/>
        <w:sz w:val="24"/>
        <w:szCs w:val="24"/>
        <w:lang w:val="en-US" w:eastAsia="en-US" w:bidi="ar-SA"/>
      </w:rPr>
    </w:rPrDefault>
    <w:pPrDefault>
      <w:pPr>
        <w:bidi/>
        <w:spacing w:after="200"/>
      </w:pPr>
    </w:pPrDefault>
  </w:docDefaults>
  <w:latentStyles w:defLockedState="0" w:defUIPriority="0" w:defSemiHidden="0" w:defUnhideWhenUsed="0" w:defQFormat="0" w:count="371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0"/>
      <w:jc w:val="both"/>
    </w:pPr>
    <w:rPr>
      <w:sz w:val="22"/>
      <w:szCs w:val="22"/>
    </w:rPr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240" w:after="100"/>
      <w:jc w:val="left"/>
      <w:outlineLvl w:val="0"/>
    </w:pPr>
    <w:rPr>
      <w:b/>
      <w:bCs/>
      <w:color w:val="111111"/>
      <w:sz w:val="29"/>
      <w:szCs w:val="29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80"/>
      <w:jc w:val="left"/>
      <w:outlineLvl w:val="1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160" w:after="60"/>
      <w:jc w:val="left"/>
      <w:outlineLvl w:val="2"/>
    </w:pPr>
    <w:rPr>
      <w:b/>
      <w:bCs/>
      <w:color w:val="111111"/>
      <w:sz w:val="21"/>
      <w:szCs w:val="2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bCs/>
      <w:i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color w:val="4F81BD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</w:style>
  <w:style w:type="paragraph" w:styleId="Title">
    <w:name w:val="Title"/>
    <w:basedOn w:val="Normal"/>
    <w:next w:val="BodyText"/>
    <w:qFormat/>
    <w:pPr>
      <w:keepNext/>
      <w:keepLines/>
      <w:spacing w:after="80"/>
      <w:jc w:val="center"/>
    </w:pPr>
    <w:rPr>
      <w:b/>
      <w:bCs/>
      <w:color w:val="111111"/>
      <w:sz w:val="31"/>
      <w:szCs w:val="31"/>
    </w:rPr>
  </w:style>
  <w:style w:type="paragraph" w:styleId="Subtitle">
    <w:name w:val="Subtitle"/>
    <w:basedOn w:val="Title"/>
    <w:next w:val="BodyText"/>
    <w:qFormat/>
    <w:pPr>
      <w:spacing w:before="240" w:after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pBdr>
        <w:bottom w:val="single" w:sz="6" w:space="8" w:color="D1D5DB"/>
      </w:pBdr>
      <w:spacing w:after="240"/>
      <w:jc w:val="center"/>
    </w:pPr>
    <w:rPr>
      <w:color w:val="6B7280"/>
      <w:sz w:val="22"/>
      <w:szCs w:val="22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00" w:after="120" w:line="259" w:lineRule="auto"/>
      <w:outlineLvl w:val="9"/>
    </w:pPr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1010</Words>
  <Characters>5760</Characters>
  <Application>Microsoft Office Word</Application>
  <DocSecurity>0</DocSecurity>
  <Lines>48</Lines>
  <Paragraphs>13</Paragraphs>
  <ScaleCrop>false</ScaleCrop>
  <Company/>
  <LinksUpToDate>false</LinksUpToDate>
  <CharactersWithSpaces>6757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تحلیل تعارض‌های بین‌نهادی در مدیریت منابع آب و تدوین راهکارهای حل تعارض</dc:title>
  <dc:creator>Mehdi R</dc:creator>
  <cp:keywords/>
  <cp:lastModifiedBy>مهدی رحیمیان</cp:lastModifiedBy>
  <cp:revision>7</cp:revision>
  <cp:lastPrinted>2026-10-12T05:23:00Z</cp:lastPrinted>
  <dcterms:created xsi:type="dcterms:W3CDTF">2026-10-12T05:15:00Z</dcterms:created>
  <dcterms:modified xsi:type="dcterms:W3CDTF">2026-10-12T05:48:00Z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۲۰ مهر ۱۴۰۵</vt:lpwstr>
  </property>
  <property fmtid="{D5CDD505-2E9C-101B-9397-08002B2CF9AE}" pid="3" name="toc-title">
    <vt:lpwstr>فهرست مطالب</vt:lpwstr>
  </property>
</Properties>
</file>